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pacing w:val="34"/>
          <w:sz w:val="32"/>
          <w:szCs w:val="32"/>
          <w:highlight w:val="none"/>
        </w:rPr>
      </w: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 внесении изменения в План мероприятий Еврейской автономной области по реализации Концепции демографической политики Дальнего Востока на период до 2025 года, утвержденный распоряжением правительства Еврейской автономной области от 12.07.2019 № 248-рп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 Внести в План мероприятий Еврейской автономной области по реализации Концепции демографической политики Дальнего Востока на период до 2025 года, утвержденный распоряжением правительства Еврейской автономной области от 12.07.2019 № 248-рп </w:t>
      </w:r>
      <w:r>
        <w:rPr>
          <w:rFonts w:ascii="Times New Roman" w:hAnsi="Times New Roman" w:cs="Times New Roman"/>
          <w:sz w:val="28"/>
          <w:szCs w:val="28"/>
        </w:rPr>
        <w:t xml:space="preserve">изменение, изложив его в редакции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4111" w:type="dxa"/>
        <w:tblInd w:w="10466" w:type="dxa"/>
        <w:tblLook w:val="04A0" w:firstRow="1" w:lastRow="0" w:firstColumn="1" w:lastColumn="0" w:noHBand="0" w:noVBand="1"/>
      </w:tblPr>
      <w:tblGrid>
        <w:gridCol w:w="4111"/>
      </w:tblGrid>
      <w:tr>
        <w:trPr>
          <w:trHeight w:val="2552"/>
        </w:trPr>
        <w:tc>
          <w:tcPr>
            <w:shd w:val="clear" w:color="ffffff" w:fill="ffffff"/>
            <w:tcW w:w="4111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 № 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shd w:val="clear" w:color="auto" w:fil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49"/>
        <w:shd w:val="clear" w:color="auto" w:fill="auto"/>
      </w:pPr>
      <w:r/>
      <w:r/>
    </w:p>
    <w:p>
      <w:pPr>
        <w:pStyle w:val="849"/>
        <w:shd w:val="clear" w:color="auto" w:fill="auto"/>
      </w:pPr>
      <w:r>
        <w:t xml:space="preserve">«</w:t>
      </w:r>
      <w:r>
        <w:t xml:space="preserve">План</w:t>
      </w:r>
      <w:r/>
    </w:p>
    <w:p>
      <w:pPr>
        <w:pStyle w:val="849"/>
        <w:shd w:val="clear" w:color="auto" w:fill="auto"/>
      </w:pPr>
      <w:r>
        <w:t xml:space="preserve">мероприятий Еврейской автономной области по реализации </w:t>
      </w:r>
      <w:r/>
    </w:p>
    <w:p>
      <w:pPr>
        <w:pStyle w:val="849"/>
        <w:shd w:val="clear" w:color="auto" w:fill="auto"/>
      </w:pPr>
      <w:r>
        <w:t xml:space="preserve">Концепции</w:t>
      </w:r>
      <w:r>
        <w:t xml:space="preserve"> </w:t>
      </w:r>
      <w:r>
        <w:t xml:space="preserve">демографической политики Дальнего Востока </w:t>
      </w:r>
      <w:r/>
    </w:p>
    <w:p>
      <w:pPr>
        <w:pStyle w:val="849"/>
        <w:shd w:val="clear" w:color="auto" w:fill="auto"/>
      </w:pPr>
      <w:r>
        <w:t xml:space="preserve">на период до 2025 года</w:t>
      </w:r>
      <w:r/>
    </w:p>
    <w:p>
      <w:pPr>
        <w:pStyle w:val="849"/>
        <w:shd w:val="clear" w:color="auto" w:fill="auto"/>
      </w:pPr>
      <w:r/>
      <w:r/>
    </w:p>
    <w:tbl>
      <w:tblPr>
        <w:tblStyle w:val="699"/>
        <w:tblW w:w="14850" w:type="dxa"/>
        <w:tblLayout w:type="fixed"/>
        <w:tblLook w:val="04A0" w:firstRow="1" w:lastRow="0" w:firstColumn="1" w:lastColumn="0" w:noHBand="0" w:noVBand="1"/>
      </w:tblPr>
      <w:tblGrid>
        <w:gridCol w:w="818"/>
        <w:gridCol w:w="2410"/>
        <w:gridCol w:w="1700"/>
        <w:gridCol w:w="1844"/>
        <w:gridCol w:w="5102"/>
        <w:gridCol w:w="992"/>
        <w:gridCol w:w="1984"/>
      </w:tblGrid>
      <w:tr>
        <w:trPr/>
        <w:tc>
          <w:tcPr>
            <w:tcW w:w="818" w:type="dxa"/>
            <w:vMerge w:val="restart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849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Наименование мероприятия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Срок исполнения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Ответственный исполнитель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Вид документа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Ожидаемый результат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8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510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количество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45"/>
        </w:trPr>
        <w:tc>
          <w:tcPr>
            <w:tcBorders>
              <w:bottom w:val="single" w:color="000000" w:sz="4" w:space="0"/>
            </w:tcBorders>
            <w:tcW w:w="818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W w:w="14850" w:type="dxa"/>
            <w:textDirection w:val="lrTb"/>
            <w:noWrap w:val="false"/>
          </w:tcPr>
          <w:p>
            <w:pPr>
              <w:pStyle w:val="849"/>
              <w:shd w:val="clear" w:color="auto" w:fill="auto"/>
            </w:pPr>
            <w:r>
              <w:rPr>
                <w:sz w:val="22"/>
                <w:szCs w:val="22"/>
              </w:rPr>
              <w:t xml:space="preserve">I. Мероприятия по повышению рождаемости, обеспечивающему воспроизводство населения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W w:w="14850" w:type="dxa"/>
            <w:textDirection w:val="lrTb"/>
            <w:noWrap w:val="false"/>
          </w:tcPr>
          <w:p>
            <w:pPr>
              <w:pStyle w:val="850"/>
              <w:jc w:val="both"/>
              <w:shd w:val="clear" w:color="auto" w:fill="auto"/>
            </w:pPr>
            <w:r>
              <w:rPr>
                <w:rFonts w:ascii="Times New Roman" w:hAnsi="Times New Roman" w:cs="Times New Roman"/>
                <w:szCs w:val="22"/>
              </w:rPr>
              <w:t xml:space="preserve">- суммарный коэффициент рождаемости (количество детей, рожденных женщино</w:t>
            </w:r>
            <w:r>
              <w:rPr>
                <w:rFonts w:ascii="Times New Roman" w:hAnsi="Times New Roman" w:cs="Times New Roman"/>
                <w:szCs w:val="22"/>
              </w:rPr>
              <w:t xml:space="preserve">й репродуктивного возраста (15 –</w:t>
            </w:r>
            <w:r>
              <w:rPr>
                <w:rFonts w:ascii="Times New Roman" w:hAnsi="Times New Roman" w:cs="Times New Roman"/>
                <w:szCs w:val="22"/>
              </w:rPr>
              <w:t xml:space="preserve"> 49 лет) в Еврейской автономной области в 2017 году </w:t>
            </w:r>
            <w:r>
              <w:rPr>
                <w:rFonts w:ascii="Times New Roman" w:hAnsi="Times New Roman" w:cs="Times New Roman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Cs w:val="22"/>
              </w:rPr>
              <w:t xml:space="preserve"> 1,</w:t>
            </w:r>
            <w:r>
              <w:rPr>
                <w:rFonts w:ascii="Times New Roman" w:hAnsi="Times New Roman" w:cs="Times New Roman"/>
                <w:szCs w:val="22"/>
              </w:rPr>
              <w:t xml:space="preserve">81</w:t>
            </w:r>
            <w:r>
              <w:rPr>
                <w:rFonts w:ascii="Times New Roman" w:hAnsi="Times New Roman" w:cs="Times New Roman"/>
                <w:szCs w:val="22"/>
              </w:rPr>
              <w:t xml:space="preserve">, в 2018 году </w:t>
            </w:r>
            <w:r>
              <w:rPr>
                <w:rFonts w:ascii="Times New Roman" w:hAnsi="Times New Roman" w:cs="Times New Roman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Cs w:val="22"/>
              </w:rPr>
              <w:t xml:space="preserve">1,</w:t>
            </w:r>
            <w:r>
              <w:rPr>
                <w:rFonts w:ascii="Times New Roman" w:hAnsi="Times New Roman" w:cs="Times New Roman"/>
                <w:szCs w:val="22"/>
              </w:rPr>
              <w:t xml:space="preserve">85</w:t>
            </w:r>
            <w:r>
              <w:rPr>
                <w:rFonts w:ascii="Times New Roman" w:hAnsi="Times New Roman" w:cs="Times New Roman"/>
                <w:szCs w:val="22"/>
              </w:rPr>
              <w:t xml:space="preserve">, в 2019 году </w:t>
            </w:r>
            <w:r>
              <w:rPr>
                <w:rFonts w:ascii="Times New Roman" w:hAnsi="Times New Roman" w:cs="Times New Roman"/>
                <w:szCs w:val="22"/>
              </w:rPr>
              <w:t xml:space="preserve">– 1,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, в 2020 году 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1,71</w:t>
            </w:r>
            <w:r>
              <w:rPr>
                <w:rFonts w:ascii="Times New Roman" w:hAnsi="Times New Roman" w:cs="Times New Roman"/>
                <w:szCs w:val="22"/>
              </w:rPr>
              <w:t xml:space="preserve">,в 2021 году – 1,</w:t>
            </w:r>
            <w:r>
              <w:rPr>
                <w:rFonts w:ascii="Times New Roman" w:hAnsi="Times New Roman" w:cs="Times New Roman"/>
                <w:szCs w:val="22"/>
              </w:rPr>
              <w:t xml:space="preserve">66 </w:t>
            </w:r>
            <w:r>
              <w:rPr>
                <w:rFonts w:ascii="Times New Roman" w:hAnsi="Times New Roman" w:cs="Times New Roman"/>
                <w:szCs w:val="22"/>
              </w:rPr>
              <w:t xml:space="preserve">и в 2025 году </w:t>
            </w:r>
            <w:r>
              <w:rPr>
                <w:rFonts w:ascii="Times New Roman" w:hAnsi="Times New Roman" w:cs="Times New Roman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  <w:t xml:space="preserve">80</w:t>
            </w:r>
            <w:r>
              <w:rPr>
                <w:rFonts w:ascii="Times New Roman" w:hAnsi="Times New Roman" w:cs="Times New Roman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850"/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доля малоимущих граждан, получивших государственную социальную помощь на основании социального контракта (</w:t>
            </w:r>
            <w:r>
              <w:rPr>
                <w:rFonts w:ascii="Times New Roman" w:hAnsi="Times New Roman" w:cs="Times New Roman"/>
                <w:szCs w:val="22"/>
              </w:rPr>
              <w:t xml:space="preserve">проценты</w:t>
            </w:r>
            <w:r>
              <w:rPr>
                <w:rFonts w:ascii="Times New Roman" w:hAnsi="Times New Roman" w:cs="Times New Roman"/>
                <w:szCs w:val="22"/>
              </w:rPr>
              <w:t xml:space="preserve"> от общей численности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получателей государственной социальной помощи) в Еврейской 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втономной области, в 2017 году – 6,2, в 2018 году – 7,5, в 2019 году – 9, в 2020 году – 10,5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, в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 году – 1,99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и в 2025 году –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15;</w:t>
            </w:r>
            <w:r>
              <w:rPr>
                <w:highlight w:val="none"/>
              </w:rPr>
            </w:r>
            <w:r/>
          </w:p>
          <w:p>
            <w:pPr>
              <w:pStyle w:val="850"/>
              <w:jc w:val="both"/>
              <w:shd w:val="clear" w:color="auto" w:fill="auto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- доля населения с денежными доходами </w:t>
            </w:r>
            <w:r>
              <w:rPr>
                <w:rFonts w:ascii="Times New Roman" w:hAnsi="Times New Roman" w:cs="Times New Roman"/>
                <w:szCs w:val="22"/>
              </w:rPr>
              <w:t xml:space="preserve">ниже в</w:t>
            </w:r>
            <w:r>
              <w:rPr>
                <w:rFonts w:ascii="Times New Roman" w:hAnsi="Times New Roman" w:cs="Times New Roman"/>
                <w:szCs w:val="22"/>
              </w:rPr>
              <w:t xml:space="preserve">еличины прожиточного минимума (процент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ов</w:t>
            </w:r>
            <w:r>
              <w:rPr>
                <w:rFonts w:ascii="Times New Roman" w:hAnsi="Times New Roman" w:cs="Times New Roman"/>
                <w:szCs w:val="22"/>
              </w:rPr>
              <w:t xml:space="preserve">) в Еврейской</w:t>
            </w:r>
            <w:r>
              <w:rPr>
                <w:rFonts w:ascii="Times New Roman" w:hAnsi="Times New Roman" w:cs="Times New Roman"/>
                <w:szCs w:val="22"/>
              </w:rPr>
              <w:t xml:space="preserve"> автономной области в 2017 году –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в 2018 году </w:t>
            </w:r>
            <w:r>
              <w:rPr>
                <w:rFonts w:ascii="Times New Roman" w:hAnsi="Times New Roman" w:cs="Times New Roman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Cs w:val="22"/>
              </w:rPr>
              <w:t xml:space="preserve">23,7</w:t>
            </w:r>
            <w:r>
              <w:rPr>
                <w:rFonts w:ascii="Times New Roman" w:hAnsi="Times New Roman" w:cs="Times New Roman"/>
                <w:szCs w:val="22"/>
              </w:rPr>
              <w:t xml:space="preserve">, в 2019 году – </w:t>
            </w:r>
            <w:r>
              <w:rPr>
                <w:rFonts w:ascii="Times New Roman" w:hAnsi="Times New Roman" w:cs="Times New Roman"/>
                <w:szCs w:val="22"/>
              </w:rPr>
              <w:t xml:space="preserve">23,9</w:t>
            </w:r>
            <w:r>
              <w:rPr>
                <w:rFonts w:ascii="Times New Roman" w:hAnsi="Times New Roman" w:cs="Times New Roman"/>
                <w:szCs w:val="22"/>
              </w:rPr>
              <w:t xml:space="preserve">, в 2020 году – </w:t>
            </w:r>
            <w:r>
              <w:rPr>
                <w:rFonts w:ascii="Times New Roman" w:hAnsi="Times New Roman" w:cs="Times New Roman"/>
                <w:szCs w:val="22"/>
              </w:rPr>
              <w:t xml:space="preserve">23,6</w:t>
            </w:r>
            <w:r>
              <w:rPr>
                <w:rFonts w:ascii="Times New Roman" w:hAnsi="Times New Roman" w:cs="Times New Roman"/>
                <w:szCs w:val="22"/>
              </w:rPr>
              <w:t xml:space="preserve">, в 2021 году – </w:t>
            </w:r>
            <w:r>
              <w:rPr>
                <w:rFonts w:ascii="Times New Roman" w:hAnsi="Times New Roman" w:cs="Times New Roman"/>
                <w:szCs w:val="22"/>
              </w:rPr>
              <w:t xml:space="preserve">22,3 </w:t>
            </w:r>
            <w:r>
              <w:rPr>
                <w:rFonts w:ascii="Times New Roman" w:hAnsi="Times New Roman" w:cs="Times New Roman"/>
                <w:szCs w:val="22"/>
              </w:rPr>
              <w:t xml:space="preserve">и в 2025 году –</w:t>
            </w:r>
            <w:r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 xml:space="preserve">6,1</w:t>
            </w:r>
            <w:r>
              <w:rPr>
                <w:rFonts w:ascii="Times New Roman" w:hAnsi="Times New Roman" w:cs="Times New Roman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849"/>
              <w:jc w:val="both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- реальны</w:t>
            </w:r>
            <w:r>
              <w:rPr>
                <w:sz w:val="22"/>
                <w:szCs w:val="22"/>
              </w:rPr>
              <w:t xml:space="preserve">е денежные доходы населения (в процентах</w:t>
            </w:r>
            <w:r>
              <w:rPr>
                <w:sz w:val="22"/>
                <w:szCs w:val="22"/>
              </w:rPr>
              <w:t xml:space="preserve"> к предыдущему году, 2025</w:t>
            </w:r>
            <w:r>
              <w:rPr>
                <w:sz w:val="22"/>
                <w:szCs w:val="22"/>
              </w:rPr>
              <w:t xml:space="preserve"> год–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процентах </w:t>
            </w:r>
            <w:r>
              <w:rPr>
                <w:sz w:val="22"/>
                <w:szCs w:val="22"/>
              </w:rPr>
              <w:t xml:space="preserve">к 2020 г</w:t>
            </w:r>
            <w:r>
              <w:rPr>
                <w:sz w:val="22"/>
                <w:szCs w:val="22"/>
              </w:rPr>
              <w:t xml:space="preserve">оду</w:t>
            </w:r>
            <w:r>
              <w:rPr>
                <w:sz w:val="22"/>
                <w:szCs w:val="22"/>
              </w:rPr>
              <w:t xml:space="preserve">) в Еврейской автономной области в 2017 году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97,2</w:t>
            </w:r>
            <w:r>
              <w:rPr>
                <w:sz w:val="22"/>
                <w:szCs w:val="22"/>
              </w:rPr>
              <w:t xml:space="preserve">, в 2018 году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99,6</w:t>
            </w:r>
            <w:r>
              <w:rPr>
                <w:sz w:val="22"/>
                <w:szCs w:val="22"/>
              </w:rPr>
              <w:t xml:space="preserve">, в 2019 году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  <w:t xml:space="preserve">,2</w:t>
            </w:r>
            <w:r>
              <w:rPr>
                <w:sz w:val="22"/>
                <w:szCs w:val="22"/>
              </w:rPr>
              <w:t xml:space="preserve">, в 2020 году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99,5</w:t>
            </w:r>
            <w:r>
              <w:rPr>
                <w:sz w:val="22"/>
                <w:szCs w:val="22"/>
              </w:rPr>
              <w:t xml:space="preserve">, в 2021 году – </w:t>
            </w:r>
            <w:r>
              <w:rPr>
                <w:sz w:val="22"/>
                <w:szCs w:val="22"/>
              </w:rPr>
              <w:t xml:space="preserve">99,9</w:t>
            </w:r>
            <w:r>
              <w:rPr>
                <w:sz w:val="22"/>
                <w:szCs w:val="22"/>
              </w:rPr>
              <w:t xml:space="preserve"> и в 2025 году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4,4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hd w:val="clear" w:color="auto" w:fill="auto"/>
      </w:pPr>
      <w:r/>
      <w:r/>
    </w:p>
    <w:p>
      <w:pPr>
        <w:shd w:val="clear" w:color="auto" w:fill="auto"/>
      </w:pPr>
      <w:r/>
      <w:r/>
    </w:p>
    <w:p>
      <w:pPr>
        <w:shd w:val="clear" w:color="auto" w:fill="auto"/>
      </w:pPr>
      <w:r/>
      <w:r/>
    </w:p>
    <w:tbl>
      <w:tblPr>
        <w:tblStyle w:val="699"/>
        <w:tblW w:w="14833" w:type="dxa"/>
        <w:tblLayout w:type="fixed"/>
        <w:tblLook w:val="04A0" w:firstRow="1" w:lastRow="0" w:firstColumn="1" w:lastColumn="0" w:noHBand="0" w:noVBand="1"/>
      </w:tblPr>
      <w:tblGrid>
        <w:gridCol w:w="814"/>
        <w:gridCol w:w="2418"/>
        <w:gridCol w:w="1706"/>
        <w:gridCol w:w="2432"/>
        <w:gridCol w:w="4961"/>
        <w:gridCol w:w="1276"/>
        <w:gridCol w:w="1227"/>
      </w:tblGrid>
      <w:tr>
        <w:trPr>
          <w:trHeight w:val="278"/>
          <w:tblHeader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245"/>
        </w:trPr>
        <w:tc>
          <w:tcPr>
            <w:gridSpan w:val="7"/>
            <w:tcBorders>
              <w:top w:val="single" w:color="000000" w:sz="4" w:space="0"/>
            </w:tcBorders>
            <w:tcW w:w="14833" w:type="dxa"/>
            <w:textDirection w:val="lrTb"/>
            <w:noWrap w:val="false"/>
          </w:tcPr>
          <w:p>
            <w:pPr>
              <w:pStyle w:val="850"/>
              <w:numPr>
                <w:ilvl w:val="1"/>
                <w:numId w:val="1"/>
              </w:num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Поддержка семьи при рождении детей в зависимости от очередности рождения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1.1.1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pStyle w:val="850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Предоставление ежемесячной выплаты в связи с рождением (усыновлением) первого ребенка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50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Коми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тет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ент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29.10.2019 № 367-пп           «О государственной программе Еврейской автономной области «Социальная поддержка населения Еврейской автономной области»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2024 годы»;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Федеральный закон от 28.12.2017 № 418-ФЗ            «О ежемесячных выплатах семьям, имеющим детей»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Суммарный коэффициент рождаемости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1,99</w:t>
            </w:r>
            <w:r>
              <w:rPr>
                <w:highlight w:val="none"/>
              </w:rPr>
            </w:r>
            <w:r/>
          </w:p>
        </w:tc>
      </w:tr>
      <w:tr>
        <w:trPr>
          <w:trHeight w:val="298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2,0</w:t>
            </w:r>
            <w:r>
              <w:rPr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1,66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gridSpan w:val="2"/>
            <w:tcW w:w="2502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Количество семей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1570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1580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1590</w:t>
            </w:r>
            <w:r>
              <w:rPr>
                <w:highlight w:val="none"/>
              </w:rPr>
            </w:r>
            <w:r/>
          </w:p>
        </w:tc>
      </w:tr>
      <w:tr>
        <w:trPr>
          <w:trHeight w:val="202"/>
        </w:trPr>
        <w:tc>
          <w:tcPr>
            <w:tcBorders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1660</w:t>
            </w:r>
            <w:r>
              <w:rPr>
                <w:highlight w:val="none"/>
              </w:rPr>
            </w:r>
            <w:r/>
          </w:p>
        </w:tc>
      </w:tr>
      <w:tr>
        <w:trPr>
          <w:trHeight w:val="251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1660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1.1.2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ежемесячной денежной выплаты семьям, нуждающимся в поддержке, при рождении (усыновлении) третьего ребенка или последующих детей до достижения ребенком возраста трех лет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Коми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тет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ент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12" w:tooltip="consultantplus://offline/ref=ACE2C570E4ED25FBB2227652A70E1FFA744EAD8EA67218B00EB223E5E32EF2977C1BD1190C4AE772651EF8A9333AAF50N5b3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367-пп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«Социальная поддержка населения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2024 годы»;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3" w:tooltip="consultantplus://offline/ref=ACE2C570E4ED25FBB2227652A70E1FFA744EAD8EA57518BE0FB223E5E32EF2977C1BD1190C4AE772651EF8A9333AAF50N5b3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З</w:t>
              </w:r>
              <w:r>
                <w:rPr>
                  <w:rFonts w:ascii="Times New Roman" w:hAnsi="Times New Roman" w:cs="Times New Roman"/>
                  <w:highlight w:val="none"/>
                </w:rPr>
                <w:t xml:space="preserve">акон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 27.06.2012 № 86-ОЗ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Суммарный коэффициент рождаемости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1,99</w:t>
            </w:r>
            <w:r>
              <w:rPr>
                <w:highlight w:val="none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2,0</w:t>
            </w:r>
            <w:r>
              <w:rPr>
                <w:highlight w:val="none"/>
              </w:rPr>
            </w:r>
            <w:r/>
          </w:p>
        </w:tc>
      </w:tr>
      <w:tr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1,66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Количество семей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1472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1709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1681</w:t>
            </w:r>
            <w:r>
              <w:rPr>
                <w:highlight w:val="no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1621</w:t>
            </w:r>
            <w:r>
              <w:rPr>
                <w:highlight w:val="none"/>
              </w:rPr>
            </w:r>
            <w:r/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1621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1.1.3</w:t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Предоставление областного материнского (семейного) капитала в связи с рождением третьего ребенка или </w:t>
            </w:r>
            <w:r>
              <w:rPr>
                <w:sz w:val="22"/>
                <w:szCs w:val="22"/>
                <w:highlight w:val="none"/>
              </w:rPr>
              <w:t xml:space="preserve">последующих детей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Коми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тет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ент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29.10.2019 № 367-пп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«Социальная поддержка населения Еврейской автономной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области»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2020 – 2024 годы»;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highlight w:val="none"/>
              </w:rPr>
              <w:t xml:space="preserve">акон 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 29.06.2011 № 965-ОЗ «О дополнительных мерах социальной поддержки семей, имеющих детей»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Суммарный коэффициент рождаемости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1,99</w:t>
            </w:r>
            <w:r>
              <w:rPr>
                <w:highlight w:val="none"/>
              </w:rPr>
            </w:r>
            <w:r/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2,0</w:t>
            </w:r>
            <w:r>
              <w:rPr>
                <w:highlight w:val="none"/>
              </w:rPr>
            </w:r>
            <w:r/>
          </w:p>
        </w:tc>
      </w:tr>
      <w:tr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1,66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Количество семей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140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150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160</w:t>
            </w:r>
            <w:r>
              <w:rPr>
                <w:highlight w:val="none"/>
              </w:rPr>
            </w:r>
            <w:r/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170</w:t>
            </w:r>
            <w:r>
              <w:rPr>
                <w:highlight w:val="none"/>
              </w:rPr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170</w:t>
            </w:r>
            <w:r>
              <w:rPr>
                <w:highlight w:val="none"/>
              </w:rPr>
            </w:r>
            <w:r/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1.1.4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Единовременная выплата при рождении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(усыновлении)</w:t>
            </w:r>
            <w:r>
              <w:rPr>
                <w:rFonts w:ascii="Times New Roman" w:hAnsi="Times New Roman" w:cs="Times New Roman"/>
                <w:highlight w:val="none"/>
              </w:rPr>
              <w:t xml:space="preserve"> первого ребенка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Коми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тет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ент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849"/>
              <w:jc w:val="both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Постановление правительства Еврейской автономной области от 29.10.2019 № 367-пп </w:t>
            </w:r>
            <w:r>
              <w:rPr>
                <w:sz w:val="22"/>
                <w:szCs w:val="22"/>
                <w:highlight w:val="none"/>
              </w:rPr>
              <w:t xml:space="preserve">           </w:t>
            </w:r>
            <w:r>
              <w:rPr>
                <w:sz w:val="22"/>
                <w:szCs w:val="22"/>
                <w:highlight w:val="none"/>
              </w:rPr>
              <w:t xml:space="preserve">«О государственной программе Еврейской автономной области «Социальная поддержка населения Еврейской автономной области» на 2020 – 2024 годы»</w:t>
            </w:r>
            <w:r>
              <w:rPr>
                <w:sz w:val="22"/>
                <w:szCs w:val="22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14" w:tooltip="consultantplus://offline/ref=98C9462B5689EF883ACEE55E451D99EF9374892B20F6E7216A21D3B57DDDB5ECC71F61836DC57582F706829680144246E6p3B" w:history="1">
              <w:r>
                <w:rPr>
                  <w:sz w:val="22"/>
                  <w:szCs w:val="22"/>
                  <w:highlight w:val="none"/>
                </w:rPr>
                <w:t xml:space="preserve">З</w:t>
              </w:r>
              <w:r>
                <w:rPr>
                  <w:sz w:val="22"/>
                  <w:szCs w:val="22"/>
                  <w:highlight w:val="none"/>
                </w:rPr>
                <w:t xml:space="preserve">акон</w:t>
              </w:r>
            </w:hyperlink>
            <w:r>
              <w:rPr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sz w:val="22"/>
                <w:szCs w:val="22"/>
                <w:highlight w:val="none"/>
              </w:rPr>
              <w:t xml:space="preserve">                         </w:t>
            </w:r>
            <w:r>
              <w:rPr>
                <w:sz w:val="22"/>
                <w:szCs w:val="22"/>
                <w:highlight w:val="none"/>
              </w:rPr>
              <w:t xml:space="preserve"> от 18.02.2019 № 376-ОЗ «О дополнительных мерах социальной поддержки семей при рождении (усыновлении) второго </w:t>
            </w:r>
            <w:r>
              <w:rPr>
                <w:sz w:val="22"/>
                <w:szCs w:val="22"/>
                <w:highlight w:val="none"/>
              </w:rPr>
              <w:t xml:space="preserve">ребенка»;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highlight w:val="none"/>
              </w:rPr>
              <w:t xml:space="preserve">акон 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 18.02.2019 № 375-ОЗ «О единовременной денежной выплате гражданам при рождении (усыновлении) первого ребенка»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Суммарный коэффициент рождаемости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1,99</w:t>
            </w:r>
            <w:r>
              <w:rPr>
                <w:highlight w:val="none"/>
              </w:rPr>
            </w:r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2,0</w:t>
            </w:r>
            <w:r>
              <w:rPr>
                <w:highlight w:val="none"/>
              </w:rPr>
            </w:r>
            <w:r/>
          </w:p>
        </w:tc>
      </w:tr>
      <w:tr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1,66</w:t>
            </w:r>
            <w:r>
              <w:rPr>
                <w:highlight w:val="none"/>
              </w:rPr>
            </w:r>
            <w:r/>
          </w:p>
        </w:tc>
      </w:tr>
      <w:tr>
        <w:trPr>
          <w:trHeight w:val="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семей</w:t>
            </w:r>
            <w:r>
              <w:rPr>
                <w:highlight w:val="none"/>
              </w:rPr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450</w:t>
            </w:r>
            <w:r>
              <w:rPr>
                <w:highlight w:val="none"/>
              </w:rPr>
            </w:r>
            <w:r/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560</w:t>
            </w:r>
            <w:r>
              <w:rPr>
                <w:highlight w:val="none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570</w:t>
            </w:r>
            <w:r>
              <w:rPr>
                <w:highlight w:val="none"/>
              </w:rPr>
            </w:r>
            <w:r/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580</w:t>
            </w:r>
            <w:r>
              <w:rPr>
                <w:highlight w:val="none"/>
              </w:rPr>
            </w:r>
            <w:r/>
          </w:p>
        </w:tc>
      </w:tr>
      <w:tr>
        <w:trPr>
          <w:trHeight w:val="7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sz w:val="22"/>
                <w:szCs w:val="22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/>
          </w:p>
          <w:p>
            <w:pPr>
              <w:pStyle w:val="851"/>
              <w:jc w:val="center"/>
              <w:shd w:val="clear" w:color="auto" w:fill="auto"/>
              <w:rPr>
                <w:rFonts w:ascii="Times New Roman" w:hAnsi="Times New Roman"/>
                <w:highlight w:val="none"/>
              </w:rPr>
              <w:outlineLvl w:val="2"/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szCs w:val="22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580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/>
          </w:p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" w:type="dxa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1.1.5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областного материнского (семейного) капитала при рождении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(усыновлении)</w:t>
            </w:r>
            <w:r>
              <w:rPr>
                <w:rFonts w:ascii="Times New Roman" w:hAnsi="Times New Roman" w:cs="Times New Roman"/>
                <w:highlight w:val="none"/>
              </w:rPr>
              <w:t xml:space="preserve"> второго ребенка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2" w:type="dxa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Коми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тет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ент социальной защиты населения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правительства Еврейской автономной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Borders>
              <w:top w:val="single" w:color="000000" w:sz="4" w:space="0"/>
            </w:tcBorders>
            <w:tcW w:w="14833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1.2. Содействие занятости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женщин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, имеющих малолетних детей, в целях обеспечения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со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вмещения семейных обязанностей с профессиональной деятельностью, в том числе создание для женщин, выходящих из отпуска по уходу за ребенком, условий, способствующих их возвращению к трудовой деятельности, а также организация их дополнительного образования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и профессионального обучения профессиям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, востребованным на рынке труда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. Содействие занятости родителей, имеющих малолетних детей</w:t>
            </w:r>
            <w:r>
              <w:rPr>
                <w:highlight w:val="none"/>
              </w:rPr>
            </w:r>
            <w:r/>
          </w:p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5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«Содействие занятости населения и обеспечение безопасности труда»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pStyle w:val="850"/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Численность женщин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34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36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highlight w:val="none"/>
              </w:rPr>
              <w:t xml:space="preserve"> женщинам, имеющим детей,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профессионального образования 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6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 государственной программе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Численность женщин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23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12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520</w:t>
            </w:r>
            <w:r>
              <w:rPr>
                <w:highlight w:val="none"/>
              </w:rPr>
            </w:r>
            <w:r/>
          </w:p>
        </w:tc>
      </w:tr>
      <w:tr>
        <w:trPr>
          <w:trHeight w:val="28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540</w:t>
            </w:r>
            <w:r>
              <w:rPr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560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580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Организация профессионального обучения и дополнительного профессионального образования безработных граждан (родителей, усыновителей, опекунов, попечителей), воспитывающих детей в возрасте до </w:t>
            </w:r>
            <w:r>
              <w:rPr>
                <w:rFonts w:ascii="Times New Roman" w:hAnsi="Times New Roman" w:cs="Times New Roman"/>
                <w:highlight w:val="none"/>
              </w:rPr>
              <w:t xml:space="preserve">трех</w:t>
            </w:r>
            <w:r>
              <w:rPr>
                <w:rFonts w:ascii="Times New Roman" w:hAnsi="Times New Roman" w:cs="Times New Roman"/>
                <w:highlight w:val="none"/>
              </w:rPr>
              <w:t xml:space="preserve"> лет, по профессиям, пользующимся устойчивым спросом на рынке труда </w:t>
            </w:r>
            <w:r>
              <w:rPr>
                <w:rFonts w:ascii="Times New Roman" w:hAnsi="Times New Roman" w:cs="Times New Roman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7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Численность граждан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22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10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133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15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6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438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1.2.4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Содействие самозанятости безработных женщин, имеющих детей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8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 государственной программе Еврейской автономной области «Содействие занятости населения и обеспечение безопасности труда»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Численность женщин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13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14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1.2.5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государственной услуги по психологической поддержке безработным женщинам, имеющим детей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19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 государственной программе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Численность женщин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jc w:val="both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1.2.6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государственной услуги по социальной адаптации безработным гражданам, имеющим детей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жеквартально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20" w:tooltip="consultantplus://offline/ref=47C0D6BFE2072A67F685BCFCFAB32806A1F72F417481B4CC7DDECCEABED0DF7B351DADB5DDE96678CE49A2DB9AB98B8843BFE052833BF5C022ED8D52hBC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 государственной программе Еврейской автономной области «Содействие занятости населения и обеспечение безопасности труда»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Численность граждан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Borders>
              <w:bottom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  <w:t xml:space="preserve">. Улучшение и сохранение репродуктивного здоровья населения Еврейской автономной области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441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Развитие ранней диагностики заболеваний органов </w:t>
            </w:r>
            <w:r>
              <w:rPr>
                <w:rFonts w:ascii="Times New Roman" w:hAnsi="Times New Roman" w:cs="Times New Roman"/>
                <w:highlight w:val="none"/>
              </w:rPr>
              <w:t xml:space="preserve">репродуктивной сферы у детей в возрасте       15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17 лет в рамках проведения профилактических осмотров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</w:t>
            </w:r>
            <w:r>
              <w:rPr>
                <w:sz w:val="22"/>
                <w:szCs w:val="22"/>
                <w:highlight w:val="none"/>
              </w:rPr>
              <w:t xml:space="preserve">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Распоряжение правительства Е</w:t>
            </w:r>
            <w:r>
              <w:rPr>
                <w:rFonts w:ascii="Times New Roman" w:hAnsi="Times New Roman" w:cs="Times New Roman"/>
                <w:highlight w:val="none"/>
              </w:rPr>
              <w:t xml:space="preserve">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от 25.06.2019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219-рп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«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утверждении региональной программы </w:t>
            </w:r>
            <w:r>
              <w:rPr>
                <w:rFonts w:ascii="Times New Roman" w:hAnsi="Times New Roman" w:cs="Times New Roman"/>
                <w:highlight w:val="none"/>
              </w:rPr>
              <w:t xml:space="preserve">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Развитие детского здравоохранения Еврейской автономной области,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2024 годы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highlight w:val="none"/>
              </w:rPr>
              <w:t xml:space="preserve">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26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3070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3170</w:t>
            </w:r>
            <w:r>
              <w:rPr>
                <w:highlight w:val="none"/>
              </w:rPr>
            </w:r>
            <w:r/>
          </w:p>
        </w:tc>
      </w:tr>
      <w:tr>
        <w:trPr>
          <w:trHeight w:val="130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3170</w:t>
            </w:r>
            <w:r>
              <w:rPr>
                <w:highlight w:val="none"/>
              </w:rPr>
            </w:r>
            <w:r/>
          </w:p>
        </w:tc>
      </w:tr>
      <w:tr>
        <w:trPr>
          <w:trHeight w:val="297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1.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  <w:t xml:space="preserve">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Информационно-коммуникационные кампании, направленные на сохранение репродуктивного здоровья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Распоряжение правительства Е</w:t>
            </w:r>
            <w:r>
              <w:rPr>
                <w:rFonts w:ascii="Times New Roman" w:hAnsi="Times New Roman" w:cs="Times New Roman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от 25.06.2019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219-рп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утверждении региональной программы 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Развитие детского здравоохранения Еврейской автономной области,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2024 годы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highlight w:val="none"/>
              </w:rPr>
              <w:t xml:space="preserve">мероприятий</w:t>
            </w:r>
            <w:r>
              <w:rPr>
                <w:highlight w:val="none"/>
              </w:rPr>
            </w:r>
            <w:r/>
          </w:p>
        </w:tc>
      </w:tr>
      <w:tr>
        <w:trPr>
          <w:trHeight w:val="233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111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II. Мероприятия по снижению смертности и повышению продолжительности жизни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смертность от всех причин (случаев на 1 тыс. человек населения) в Еврейской автономной области в 2017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  <w:t xml:space="preserve">, в 2018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13,</w:t>
            </w: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  <w:t xml:space="preserve">, в 2019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  <w:t xml:space="preserve">,2, в 2020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  <w:t xml:space="preserve">, в 2021 году – </w:t>
            </w:r>
            <w:r>
              <w:rPr>
                <w:rFonts w:ascii="Times New Roman" w:hAnsi="Times New Roman" w:cs="Times New Roman"/>
                <w:highlight w:val="none"/>
              </w:rPr>
              <w:t xml:space="preserve">18,0</w:t>
            </w:r>
            <w:r>
              <w:rPr>
                <w:rFonts w:ascii="Times New Roman" w:hAnsi="Times New Roman" w:cs="Times New Roman"/>
                <w:highlight w:val="none"/>
              </w:rPr>
              <w:t xml:space="preserve"> и в 2025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11;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ожидаемая продолжительность жизни в Еврейской автономн</w:t>
            </w:r>
            <w:r>
              <w:rPr>
                <w:rFonts w:ascii="Times New Roman" w:hAnsi="Times New Roman" w:cs="Times New Roman"/>
                <w:highlight w:val="none"/>
              </w:rPr>
              <w:t xml:space="preserve">ой области в 2017 году – 6</w:t>
            </w: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года, в 2018 году 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68</w:t>
            </w:r>
            <w:r>
              <w:rPr>
                <w:rFonts w:ascii="Times New Roman" w:hAnsi="Times New Roman" w:cs="Times New Roman"/>
                <w:highlight w:val="none"/>
              </w:rPr>
              <w:t xml:space="preserve">,6</w:t>
            </w:r>
            <w:r>
              <w:rPr>
                <w:rFonts w:ascii="Times New Roman" w:hAnsi="Times New Roman" w:cs="Times New Roman"/>
                <w:highlight w:val="none"/>
              </w:rPr>
              <w:t xml:space="preserve"> лет, в 2019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68</w:t>
            </w:r>
            <w:r>
              <w:rPr>
                <w:rFonts w:ascii="Times New Roman" w:hAnsi="Times New Roman" w:cs="Times New Roman"/>
                <w:highlight w:val="none"/>
              </w:rPr>
              <w:t xml:space="preserve"> лет, в 2020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67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  <w:t xml:space="preserve"> года</w:t>
            </w:r>
            <w:r>
              <w:rPr>
                <w:rFonts w:ascii="Times New Roman" w:hAnsi="Times New Roman" w:cs="Times New Roman"/>
                <w:highlight w:val="none"/>
              </w:rPr>
              <w:t xml:space="preserve">, в 2021 году – </w:t>
            </w:r>
            <w:r>
              <w:rPr>
                <w:rFonts w:ascii="Times New Roman" w:hAnsi="Times New Roman" w:cs="Times New Roman"/>
                <w:highlight w:val="none"/>
              </w:rPr>
              <w:t xml:space="preserve">67,8</w:t>
            </w:r>
            <w:r>
              <w:rPr>
                <w:rFonts w:ascii="Times New Roman" w:hAnsi="Times New Roman" w:cs="Times New Roman"/>
                <w:highlight w:val="none"/>
              </w:rPr>
              <w:t xml:space="preserve">и в 2025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71,1</w:t>
            </w:r>
            <w:r>
              <w:rPr>
                <w:rFonts w:ascii="Times New Roman" w:hAnsi="Times New Roman" w:cs="Times New Roman"/>
                <w:highlight w:val="none"/>
              </w:rPr>
              <w:t xml:space="preserve"> лет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2.1. Снижение смертности от основных причин</w:t>
            </w:r>
            <w:r>
              <w:rPr>
                <w:highlight w:val="none"/>
              </w:rPr>
            </w:r>
            <w:r/>
          </w:p>
        </w:tc>
      </w:tr>
      <w:tr>
        <w:trPr>
          <w:trHeight w:val="196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2.1.1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Профилактика инфекционных заболеваний, включая иммунопрофилактику (приобретение вакцин)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2021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2022 - 2024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здравоохранения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21" w:tooltip="consultantplus://offline/ref=A315EB77BEDC6DD759EA321218960EF156C7AABCE932BD3601F2908D76FCB58DF572BF812C44A4B2F0417A2F1561AFBAM1UFF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23.10.2015 № 482-пп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«Об утверждении государственной программы Еврейской автономной области «Здравоохранение в Еврейской автономной области»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2016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2023 годы»</w:t>
            </w:r>
            <w:r>
              <w:rPr>
                <w:rFonts w:ascii="Times New Roman" w:hAnsi="Times New Roman" w:cs="Times New Roman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205-пп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Приобретение вакцин (доз)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17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51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43 039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2.1.2</w:t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Проведение вакцинации против пневмококковой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инфекции граждан старше трудоспособного возраста из групп риска, проживающих в организациях социального обслуживания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2021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2022 – 2024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здравоохранения правительства </w:t>
            </w:r>
            <w:r>
              <w:rPr>
                <w:rFonts w:ascii="Times New Roman" w:hAnsi="Times New Roman" w:cs="Times New Roman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22" w:tooltip="consultantplus://offline/ref=A315EB77BEDC6DD759EA321218960EF156C7AABCE932BD3601F2908D76FCB58DF572BF812C44A4B2F0417A2F1561AFBAM1UFF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23.10.2015 № 482-пп                    «Об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none"/>
              </w:rPr>
              <w:t xml:space="preserve">Еврейской автономной области «Здравоохранение в Еврейской автономной области» на 2016 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2023 годы»</w:t>
            </w:r>
            <w:r>
              <w:rPr>
                <w:rFonts w:ascii="Times New Roman" w:hAnsi="Times New Roman" w:cs="Times New Roman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205-пп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Приобретение вакцин (доз)</w:t>
            </w:r>
            <w:r>
              <w:rPr>
                <w:highlight w:val="none"/>
              </w:rPr>
            </w:r>
            <w:r/>
          </w:p>
        </w:tc>
      </w:tr>
      <w:tr>
        <w:trPr>
          <w:trHeight w:val="24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</w:tr>
      <w:tr>
        <w:trPr>
          <w:trHeight w:val="25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</w:tr>
      <w:tr>
        <w:trPr>
          <w:trHeight w:val="13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</w:tr>
      <w:tr>
        <w:trPr>
          <w:trHeight w:val="15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23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</w:tr>
      <w:tr>
        <w:trPr>
          <w:trHeight w:val="150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2.1.3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205-пп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наборов реагентов</w:t>
            </w:r>
            <w:r>
              <w:rPr>
                <w:highlight w:val="none"/>
              </w:rPr>
            </w:r>
            <w:r/>
          </w:p>
        </w:tc>
      </w:tr>
      <w:tr>
        <w:trPr>
          <w:trHeight w:val="15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highlight w:val="none"/>
              </w:rPr>
            </w:r>
            <w:r/>
          </w:p>
        </w:tc>
      </w:tr>
      <w:tr>
        <w:trPr>
          <w:trHeight w:val="17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highlight w:val="none"/>
              </w:rPr>
            </w:r>
            <w:r/>
          </w:p>
        </w:tc>
      </w:tr>
      <w:tr>
        <w:trPr>
          <w:trHeight w:val="104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2.1.</w:t>
            </w: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Обеспечение закупки авиационных работ органами государственной власти субъектов Р</w:t>
            </w:r>
            <w:r>
              <w:rPr>
                <w:rFonts w:ascii="Times New Roman" w:hAnsi="Times New Roman" w:cs="Times New Roman"/>
                <w:highlight w:val="none"/>
              </w:rPr>
              <w:t xml:space="preserve">оссийской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Ф</w:t>
            </w:r>
            <w:r>
              <w:rPr>
                <w:rFonts w:ascii="Times New Roman" w:hAnsi="Times New Roman" w:cs="Times New Roman"/>
                <w:highlight w:val="none"/>
              </w:rPr>
              <w:t xml:space="preserve">едерации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в целях оказания медицинской помощи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2021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2022 – 2024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здравоохранения правительства Еврейской автономной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23" w:tooltip="consultantplus://offline/ref=A315EB77BEDC6DD759EA321218960EF156C7AABCE932BD3601F2908D76FCB58DF572BF812C44A4B2F0417A2F1561AFBAM1UFF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23.10.2015 № 482-пп           «Об утверждении государственной программы Еврейской автономной области «Здравоохранение в Еврейской автономной области»                                на 2016 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2023 годы»</w:t>
            </w:r>
            <w:r>
              <w:rPr>
                <w:rFonts w:ascii="Times New Roman" w:hAnsi="Times New Roman" w:cs="Times New Roman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205-пп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Обеспечение вылетов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</w:tr>
      <w:tr>
        <w:trPr>
          <w:trHeight w:val="45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2.2. Мероприятия по снижению младенческой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и детской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смертности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2.2.1</w:t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Обеспечение обследования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новорожденных детей на наследственные заболевания (неонатальный скрининг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– 2024 годы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№ 205-пп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«Об утверждении государственной программы Еврейской автономной области «Здравоохранение в Еврейской автономной области»                             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обследованных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1685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1685</w:t>
            </w:r>
            <w:r>
              <w:rPr>
                <w:highlight w:val="none"/>
              </w:rPr>
            </w:r>
            <w:r/>
          </w:p>
        </w:tc>
      </w:tr>
      <w:tr>
        <w:trPr>
          <w:trHeight w:val="7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1685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Обследование беременных женщин: пренатальная (дородовая) диагностика нарушений развития ребенка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№ 205-пп  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проведенных мероприятий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65</w:t>
            </w:r>
            <w:r>
              <w:rPr>
                <w:highlight w:val="none"/>
              </w:rPr>
            </w:r>
            <w:r/>
          </w:p>
        </w:tc>
      </w:tr>
      <w:tr>
        <w:trPr>
          <w:trHeight w:val="78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№ 205-пп         «Об утверждении государственной программы Еврейской автономной области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2022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highlight w:val="none"/>
              </w:rPr>
              <w:t xml:space="preserve">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90</w:t>
            </w:r>
            <w:r>
              <w:rPr>
                <w:highlight w:val="none"/>
              </w:rPr>
            </w:r>
            <w:r/>
          </w:p>
        </w:tc>
      </w:tr>
      <w:tr>
        <w:trPr>
          <w:trHeight w:val="122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90</w:t>
            </w:r>
            <w:r>
              <w:rPr>
                <w:highlight w:val="none"/>
              </w:rPr>
            </w:r>
            <w:r/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Проведение медицинского тестирования школьников и студентов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4 годы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Распоряжение правительства Е</w:t>
            </w:r>
            <w:r>
              <w:rPr>
                <w:rFonts w:ascii="Times New Roman" w:hAnsi="Times New Roman" w:cs="Times New Roman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от 25.06.2019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219-рп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утверждении региональной программы 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Развитие детского здравоохранения Еврейской автономной области,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2024 годы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63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550</w:t>
            </w:r>
            <w:r>
              <w:rPr>
                <w:highlight w:val="none"/>
              </w:rPr>
            </w:r>
            <w:r/>
          </w:p>
        </w:tc>
      </w:tr>
      <w:tr>
        <w:trPr>
          <w:trHeight w:val="898"/>
        </w:trPr>
        <w:tc>
          <w:tcPr>
            <w:tcBorders>
              <w:bottom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31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2.2.5</w:t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Проведение семинаров для педагогов области с целью раннего выявления употребления наркотических,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психотропных веществ подростками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Распоряжение правительства Е</w:t>
            </w:r>
            <w:r>
              <w:rPr>
                <w:rFonts w:ascii="Times New Roman" w:hAnsi="Times New Roman" w:cs="Times New Roman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от 25.06.2019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219-рп             «Об утверждении региональной программы Еврейской автономной области «Развитие детского здравоохранения Еврейской автономной области, включая создание современной инфраструктуры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оказания медицинской помощи детям</w:t>
            </w:r>
            <w:r>
              <w:rPr>
                <w:rFonts w:ascii="Times New Roman" w:hAnsi="Times New Roman" w:cs="Times New Roman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2019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tabs>
                <w:tab w:val="left" w:pos="802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проведенных мероприятий</w:t>
            </w:r>
            <w:r>
              <w:rPr>
                <w:highlight w:val="none"/>
              </w:rPr>
            </w:r>
            <w:r/>
          </w:p>
        </w:tc>
      </w:tr>
      <w:tr>
        <w:trPr>
          <w:trHeight w:val="10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7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3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7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8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4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2.2.6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Проведение медицинского тестирования школьников и студентов с целью раннего выявления незаконного потребления наркотических средств и психотропных веществ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Распоряжение правитель</w:t>
            </w:r>
            <w:r>
              <w:rPr>
                <w:rFonts w:ascii="Times New Roman" w:hAnsi="Times New Roman" w:cs="Times New Roman"/>
                <w:highlight w:val="none"/>
              </w:rPr>
              <w:t xml:space="preserve">ства Е</w:t>
            </w:r>
            <w:r>
              <w:rPr>
                <w:rFonts w:ascii="Times New Roman" w:hAnsi="Times New Roman" w:cs="Times New Roman"/>
                <w:highlight w:val="none"/>
              </w:rPr>
              <w:t xml:space="preserve">врейской автономной области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от 25.06.2019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219-рп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 утверждении региональной программы Еврейской автономной области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Развитие детского здравоохранения Еврейской автономной области,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 w:cs="Times New Roman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2024 годы</w:t>
            </w:r>
            <w:r>
              <w:rPr>
                <w:rFonts w:ascii="Times New Roman" w:hAnsi="Times New Roman" w:cs="Times New Roman"/>
                <w:highlight w:val="none"/>
              </w:rPr>
              <w:t xml:space="preserve">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Приказ Минздрава России от 06.10.2014 </w:t>
            </w: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  <w:t xml:space="preserve"> 581н «О Порядке проведения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профилактических медицинских осмотров,</w:t>
            </w:r>
            <w:r>
              <w:rPr>
                <w:rFonts w:ascii="Times New Roman" w:hAnsi="Times New Roman" w:cs="Times New Roman"/>
                <w:highlight w:val="none"/>
              </w:rPr>
      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highlight w:val="none"/>
              </w:rPr>
              <w:t xml:space="preserve">участников</w:t>
            </w:r>
            <w:r>
              <w:rPr>
                <w:rFonts w:ascii="Times New Roman" w:hAnsi="Times New Roman" w:cs="Times New Roman"/>
                <w:highlight w:val="none"/>
              </w:rPr>
              <w:t xml:space="preserve">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257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350</w:t>
            </w:r>
            <w:r>
              <w:rPr>
                <w:highlight w:val="none"/>
              </w:rPr>
            </w:r>
            <w:r/>
          </w:p>
        </w:tc>
      </w:tr>
      <w:tr>
        <w:trPr>
          <w:trHeight w:val="29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450</w:t>
            </w:r>
            <w:r>
              <w:rPr>
                <w:highlight w:val="none"/>
              </w:rPr>
            </w:r>
            <w:r/>
          </w:p>
        </w:tc>
      </w:tr>
      <w:tr>
        <w:trPr>
          <w:trHeight w:val="17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5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550</w:t>
            </w:r>
            <w:r>
              <w:rPr>
                <w:highlight w:val="none"/>
              </w:rPr>
            </w:r>
            <w:r/>
          </w:p>
        </w:tc>
      </w:tr>
      <w:tr>
        <w:trPr>
          <w:trHeight w:val="2371"/>
        </w:trPr>
        <w:tc>
          <w:tcPr>
            <w:tcBorders>
              <w:bottom w:val="single" w:color="000000" w:sz="4" w:space="0"/>
            </w:tcBorders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Borders>
              <w:bottom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600</w:t>
            </w:r>
            <w:r>
              <w:rPr>
                <w:highlight w:val="none"/>
              </w:rPr>
            </w:r>
            <w:r/>
          </w:p>
        </w:tc>
      </w:tr>
      <w:tr>
        <w:trPr>
          <w:trHeight w:val="163"/>
        </w:trPr>
        <w:tc>
          <w:tcPr>
            <w:gridSpan w:val="7"/>
            <w:tcBorders>
              <w:bottom w:val="single" w:color="000000" w:sz="4" w:space="0"/>
            </w:tcBorders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2.3 Повышение качества жизни пожилых людей и уровня доступности для них среды жизнедеятельности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2.3.1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Строительство дома-интерната для престарелых и инвалидов общего типа на 50 мест в г. Биробиджане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22.12.2022 № 545-пп           «О государственной программе Еврейской автономной области «Развитие системы социального обслуживания населения Еврейской автономной области» на 2023 - 2027 годы»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Дом-интернат</w:t>
            </w:r>
            <w:r>
              <w:rPr>
                <w:highlight w:val="none"/>
              </w:rPr>
            </w:r>
            <w:r/>
          </w:p>
        </w:tc>
      </w:tr>
      <w:tr>
        <w:trPr>
          <w:trHeight w:val="1623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2.3.2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единовременной выплаты инвалидам и ветеранам Великой Отечественной войны на проведение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капитального ремонта жилых помещений в Порядке, установленном правительством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  <w:t xml:space="preserve"> – 2025 годы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22.12.2022 № 545-пп           «О государственной программе Еврейской автономной области «Развитие системы социального обслуживания населения Еврейской автономной области» на 2023 - 2027 годы»</w:t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выплат</w:t>
            </w:r>
            <w:r>
              <w:rPr>
                <w:highlight w:val="none"/>
              </w:rPr>
            </w:r>
            <w:r/>
          </w:p>
        </w:tc>
      </w:tr>
      <w:tr>
        <w:trPr>
          <w:trHeight w:val="2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6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2223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2.3.3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Организация углубленного медицинского обследования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пожилых граждан, в том числе участников и инвалидов Великой Отечественной войны, проживающих в Еврейской автономной области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  <w:t xml:space="preserve"> – 2025 годы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22.12.2022 № 545-пп           «О государственной программе Еврейской автономной области «Развитие системы социального обслуживания населения Еврейской автономной области» на 2023 - 2027 годы»</w:t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2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28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144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</w:tcBorders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2.3.4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Формирование системы долговременного ухода за гражданами пожилого возраста в целях повышения качества и продолжительности жизни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</w:t>
            </w: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  <w:t xml:space="preserve"> – 2025 годы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22.12.2022 № 545-пп           «О государственной программе Еврейской автономной области «Развитие системы социального обслуживания населения Еврейской автономной области» на 2023 - 2027 годы»</w:t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региональных практик</w:t>
            </w:r>
            <w:r>
              <w:rPr>
                <w:highlight w:val="none"/>
              </w:rPr>
            </w:r>
            <w:r/>
          </w:p>
        </w:tc>
      </w:tr>
      <w:tr>
        <w:trPr>
          <w:trHeight w:val="24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26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1239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141"/>
        </w:trPr>
        <w:tc>
          <w:tcPr>
            <w:gridSpan w:val="7"/>
            <w:tcBorders>
              <w:top w:val="single" w:color="000000" w:sz="4" w:space="0"/>
            </w:tcBorders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  <w:t xml:space="preserve">. Профилактика и своевременное выявление профессиональных заболеваний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</w:t>
            </w: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Мониторинг прохождения предварительных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и </w:t>
            </w:r>
            <w:r>
              <w:rPr>
                <w:rFonts w:ascii="Times New Roman" w:hAnsi="Times New Roman" w:cs="Times New Roman"/>
                <w:highlight w:val="none"/>
              </w:rPr>
              <w:t xml:space="preserve">периодических мед</w:t>
            </w:r>
            <w:r>
              <w:rPr>
                <w:rFonts w:ascii="Times New Roman" w:hAnsi="Times New Roman" w:cs="Times New Roman"/>
                <w:highlight w:val="none"/>
              </w:rPr>
              <w:t xml:space="preserve">ицинских </w:t>
            </w:r>
            <w:r>
              <w:rPr>
                <w:rFonts w:ascii="Times New Roman" w:hAnsi="Times New Roman" w:cs="Times New Roman"/>
                <w:highlight w:val="none"/>
              </w:rPr>
              <w:t xml:space="preserve">осмотров работниками областных и </w:t>
            </w:r>
            <w:r>
              <w:rPr>
                <w:rFonts w:ascii="Times New Roman" w:hAnsi="Times New Roman" w:cs="Times New Roman"/>
                <w:highlight w:val="none"/>
              </w:rPr>
              <w:t xml:space="preserve">муниципальных учреждений.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Выявление профессиональной заболеваемости на первоначальном этапе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</w:t>
            </w:r>
            <w:r>
              <w:rPr>
                <w:sz w:val="22"/>
                <w:szCs w:val="22"/>
                <w:highlight w:val="none"/>
              </w:rPr>
              <w:t xml:space="preserve">егодно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населения правительства Еврейской автономной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highlight w:val="none"/>
              </w:rPr>
            </w:pPr>
            <w:r>
              <w:rPr>
                <w:highlight w:val="none"/>
              </w:rPr>
            </w:r>
            <w:hyperlink r:id="rId24" w:tooltip="consultantplus://offline/ref=0BA535B60C50630746421813B1DA4337A7983322EE965509828E2BB0572AF87EF08638C94080609725426A357FD181950C553ABD767FC637911722P5L7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работников с выявленными профессиональными заболеваниями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</w:t>
            </w: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  <w:t xml:space="preserve">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Анализ производственного травматизма и профессиональной заболеваемости.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Снижение численности пострадавших в результате несчастных случаев на производстве со смертельным исходом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25" w:tooltip="consultantplus://offline/ref=0BA535B60C50630746421813B1DA4337A7983322EE965509828E2BB0572AF87EF08638C94080609725426A357FD181950C553ABD767FC637911722P5L7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«Содействие занятости населения и обеспечение безопасности труда»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пострадавших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</w:t>
            </w: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none"/>
              </w:rPr>
              <w:t xml:space="preserve">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Мониторинг </w:t>
            </w:r>
            <w:r>
              <w:rPr>
                <w:rFonts w:ascii="Times New Roman" w:hAnsi="Times New Roman" w:cs="Times New Roman"/>
                <w:highlight w:val="none"/>
              </w:rPr>
              <w:t xml:space="preserve">проведения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специальной оценки условий труда в областных и муниципальных учреждениях.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Выявление организаций, прошедших специальную оценку условий труда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трудовой занятости населения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</w:rPr>
              <w:t xml:space="preserve">департамент по труду и занятости населения правительства </w:t>
            </w:r>
            <w:r>
              <w:rPr>
                <w:rFonts w:eastAsia="Calibri"/>
                <w:sz w:val="22"/>
                <w:szCs w:val="22"/>
                <w:highlight w:val="none"/>
              </w:rPr>
              <w:t xml:space="preserve">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26" w:tooltip="consultantplus://offline/ref=0BA535B60C50630746421813B1DA4337A7983322EE965509828E2BB0572AF87EF08638C94080609725426A357FD181950C553ABD767FC637911722P5L7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29.10.2019 № 381-пп            «О государственной программе Еврейской автономной области «Содействие занятости населения и обеспечение безопасности труда»               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организаций, прошедших специальную оценку условий труда (процентов)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  <w:t xml:space="preserve">. Повышение уровня доступности и качества медицинской помощи, оказываемой в соответствии с территориальными программами государственных гарантий бесплатного оказания гражданам медицинской помощи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</w:t>
            </w: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Обеспечение комплексного обследования детей центральной психолого-медико-педагогической комисси</w:t>
            </w:r>
            <w:r>
              <w:rPr>
                <w:rFonts w:ascii="Times New Roman" w:hAnsi="Times New Roman" w:cs="Times New Roman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оказание консультативной</w:t>
            </w:r>
            <w:r>
              <w:rPr>
                <w:rFonts w:ascii="Times New Roman" w:hAnsi="Times New Roman" w:cs="Times New Roman"/>
                <w:highlight w:val="none"/>
              </w:rPr>
              <w:t xml:space="preserve"> помощ</w:t>
            </w:r>
            <w:r>
              <w:rPr>
                <w:rFonts w:ascii="Times New Roman" w:hAnsi="Times New Roman" w:cs="Times New Roman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их родителям (законным представителям)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2020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2021 – 2025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Комитет образования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</w:t>
            </w:r>
            <w:r>
              <w:rPr>
                <w:sz w:val="22"/>
                <w:szCs w:val="22"/>
                <w:highlight w:val="none"/>
              </w:rPr>
              <w:t xml:space="preserve">епартамент образования</w:t>
            </w:r>
            <w:r>
              <w:rPr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27" w:tooltip="consultantplus://offline/ref=A7BF75FBBED0656621424BBC43825AFE62DEECBECB134E58BE292FAAB8F72C39DC4A04304497F4F8804F1368845FAEE65BQ4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11.02.2019 № 25-пп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«Развитие образования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2018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100% от числа обратившихся за получением услуги</w:t>
            </w:r>
            <w:r>
              <w:rPr>
                <w:rFonts w:ascii="Times New Roman" w:hAnsi="Times New Roman" w:cs="Times New Roman"/>
                <w:highlight w:val="none"/>
              </w:rPr>
              <w:t xml:space="preserve"> родителей (законных представителей)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  <w:t xml:space="preserve">. Формирование и создание условий для ведения здорового образа жизни, в том числе для повышения доступности объектов физической культуры и спорта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2.</w:t>
            </w:r>
            <w:r>
              <w:rPr>
                <w:sz w:val="22"/>
                <w:szCs w:val="22"/>
                <w:highlight w:val="none"/>
              </w:rPr>
              <w:t xml:space="preserve">6</w:t>
            </w:r>
            <w:r>
              <w:rPr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Строительство физкультурно-оздоровительного комплекса с универсальным игровым залом в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г. Биробиджане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по физической культуре и спорту </w:t>
            </w:r>
            <w:r>
              <w:rPr>
                <w:sz w:val="22"/>
                <w:szCs w:val="22"/>
                <w:highlight w:val="none"/>
              </w:rPr>
              <w:t xml:space="preserve">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28" w:tooltip="consultantplus://offline/ref=A6CC3F8A3C4FF184A059FEB4C7B65F0BACE5454638D64D193AEDAC2A8FAADFA031A042A442CA33E5B54D4F3B984AE153pAb2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21.12.2020 № 508-пп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«Об утверждении государственной программы Еврейской автономной области «Развитие физической культуры и спорта в Еврейской автономной области» на 2021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Физкультурно-оздоровительный комплекс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Мониторинг уровня физической подготовленности населения в рамках внедрения Всероссийского </w:t>
            </w:r>
            <w:r>
              <w:rPr>
                <w:rFonts w:ascii="Times New Roman" w:hAnsi="Times New Roman" w:cs="Times New Roman"/>
                <w:highlight w:val="none"/>
              </w:rPr>
              <w:t xml:space="preserve">физкультурно-спортивного комплекса </w:t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highlight w:val="none"/>
              </w:rPr>
              <w:t xml:space="preserve">Готов к труду и обороне</w:t>
            </w:r>
            <w:r>
              <w:rPr>
                <w:rFonts w:ascii="Times New Roman" w:hAnsi="Times New Roman" w:cs="Times New Roman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highlight w:val="none"/>
              </w:rPr>
              <w:t xml:space="preserve">(ГТО)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– 2024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по физической культуре и спорту правительства Еврейской автономной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color w:val="000000"/>
                <w:highlight w:val="none"/>
              </w:rPr>
            </w:pPr>
            <w:r>
              <w:rPr>
                <w:highlight w:val="none"/>
              </w:rPr>
            </w:r>
            <w:hyperlink r:id="rId29" w:tooltip="consultantplus://offline/ref=A6CC3F8A3C4FF184A059FEB4C7B65F0BACE5454638D64D193AEDAC2A8FAADFA031A042A442CA33E5B54D4F3B984AE153pAb2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21.12.2020 № 508-пп                  «Об утверждении государственной программы Еврейской автономной области «Развитие физической культуры и спорта в Еврейской автономной области» на 2021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Доля населения, принявшего участие в выполнении нормативов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ГТО</w:t>
            </w:r>
            <w:r>
              <w:rPr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51 %</w:t>
            </w:r>
            <w:r>
              <w:rPr>
                <w:highlight w:val="none"/>
              </w:rPr>
            </w:r>
            <w:r/>
          </w:p>
        </w:tc>
      </w:tr>
      <w:tr>
        <w:trPr>
          <w:trHeight w:val="28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52 %</w:t>
            </w:r>
            <w:r>
              <w:rPr>
                <w:highlight w:val="none"/>
              </w:rPr>
            </w:r>
            <w:r/>
          </w:p>
        </w:tc>
      </w:tr>
      <w:tr>
        <w:trPr>
          <w:trHeight w:val="94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53 %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III. Мероприятия по сокращению миграционного оттока постоянного населения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 численность населения в Еврейской автономной области в 2017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0,164 млн. человек, в 2018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0,16</w:t>
            </w: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  <w:t xml:space="preserve"> млн. человек, в 2019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 </w:t>
            </w:r>
            <w:r>
              <w:rPr>
                <w:rFonts w:ascii="Times New Roman" w:hAnsi="Times New Roman" w:cs="Times New Roman"/>
                <w:highlight w:val="none"/>
              </w:rPr>
              <w:t xml:space="preserve">0,1</w:t>
            </w:r>
            <w:r>
              <w:rPr>
                <w:rFonts w:ascii="Times New Roman" w:hAnsi="Times New Roman" w:cs="Times New Roman"/>
                <w:highlight w:val="none"/>
              </w:rPr>
              <w:t xml:space="preserve">60</w:t>
            </w:r>
            <w:r>
              <w:rPr>
                <w:rFonts w:ascii="Times New Roman" w:hAnsi="Times New Roman" w:cs="Times New Roman"/>
                <w:highlight w:val="none"/>
              </w:rPr>
              <w:t xml:space="preserve"> млн. человек, в 2020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0,1</w:t>
            </w:r>
            <w:r>
              <w:rPr>
                <w:rFonts w:ascii="Times New Roman" w:hAnsi="Times New Roman" w:cs="Times New Roman"/>
                <w:highlight w:val="none"/>
              </w:rPr>
              <w:t xml:space="preserve">58</w:t>
            </w:r>
            <w:r>
              <w:rPr>
                <w:rFonts w:ascii="Times New Roman" w:hAnsi="Times New Roman" w:cs="Times New Roman"/>
                <w:highlight w:val="none"/>
              </w:rPr>
              <w:t xml:space="preserve"> млн. человек</w:t>
            </w:r>
            <w:r>
              <w:rPr>
                <w:rFonts w:ascii="Times New Roman" w:hAnsi="Times New Roman" w:cs="Times New Roman"/>
                <w:highlight w:val="none"/>
              </w:rPr>
              <w:t xml:space="preserve">, в 2021 году -</w:t>
            </w:r>
            <w:r>
              <w:rPr>
                <w:rFonts w:ascii="Times New Roman" w:hAnsi="Times New Roman" w:cs="Times New Roman"/>
                <w:highlight w:val="none"/>
              </w:rPr>
              <w:t xml:space="preserve"> 0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156 </w:t>
            </w:r>
            <w:r>
              <w:rPr>
                <w:rFonts w:ascii="Times New Roman" w:hAnsi="Times New Roman" w:cs="Times New Roman"/>
                <w:highlight w:val="none"/>
              </w:rPr>
              <w:t xml:space="preserve">и в 2025 году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0,</w:t>
            </w:r>
            <w:r>
              <w:rPr>
                <w:rFonts w:ascii="Times New Roman" w:hAnsi="Times New Roman" w:cs="Times New Roman"/>
                <w:highlight w:val="none"/>
              </w:rPr>
              <w:t xml:space="preserve">159</w:t>
            </w:r>
            <w:r>
              <w:rPr>
                <w:rFonts w:ascii="Times New Roman" w:hAnsi="Times New Roman" w:cs="Times New Roman"/>
                <w:highlight w:val="none"/>
              </w:rPr>
              <w:t xml:space="preserve"> млн. человек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3.1. Обеспечение жильем гражда</w:t>
            </w:r>
            <w:r>
              <w:rPr>
                <w:rFonts w:ascii="Times New Roman" w:hAnsi="Times New Roman" w:cs="Times New Roman"/>
                <w:highlight w:val="none"/>
              </w:rPr>
              <w:t xml:space="preserve">н, проживающих в аварийном жилищном</w:t>
            </w:r>
            <w:r>
              <w:rPr>
                <w:rFonts w:ascii="Times New Roman" w:hAnsi="Times New Roman" w:cs="Times New Roman"/>
                <w:highlight w:val="none"/>
              </w:rPr>
              <w:t xml:space="preserve"> фонде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3.1.1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Мероприятия по переселению граждан из аварийного жилищного фонда, направленные на обеспечение устойчивого сокращения непригодного для проживания жилищного фонда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 с расселением к 01.09.2025 не менее </w:t>
            </w:r>
            <w:r>
              <w:rPr>
                <w:rFonts w:ascii="Times New Roman" w:hAnsi="Times New Roman" w:cs="Times New Roman"/>
                <w:highlight w:val="none"/>
              </w:rPr>
              <w:t xml:space="preserve">3,91 тыс. человек </w:t>
            </w:r>
            <w:r>
              <w:rPr>
                <w:rFonts w:ascii="Times New Roman" w:hAnsi="Times New Roman" w:cs="Times New Roman"/>
                <w:highlight w:val="none"/>
              </w:rPr>
              <w:t xml:space="preserve">из аварийного жилищного фонда</w:t>
            </w:r>
            <w:r>
              <w:rPr>
                <w:rFonts w:ascii="Times New Roman" w:hAnsi="Times New Roman" w:cs="Times New Roman"/>
                <w:highlight w:val="none"/>
              </w:rPr>
              <w:t xml:space="preserve">площадью не менее </w:t>
            </w:r>
            <w:r>
              <w:rPr>
                <w:rFonts w:ascii="Times New Roman" w:hAnsi="Times New Roman" w:cs="Times New Roman"/>
                <w:highlight w:val="none"/>
              </w:rPr>
              <w:t xml:space="preserve">70,4 тыс. кв. м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2020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2021 – 2024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жилищно-коммунального хозяйства и энергетики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</w:t>
            </w:r>
            <w:r>
              <w:rPr>
                <w:sz w:val="22"/>
                <w:szCs w:val="22"/>
                <w:highlight w:val="none"/>
              </w:rPr>
              <w:t xml:space="preserve">епартамент строительства и жилищно-коммунального хозяйства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органы местного самоуправления муниципальных образований Еврейской автономной области</w:t>
            </w:r>
            <w:r>
              <w:rPr>
                <w:sz w:val="22"/>
                <w:szCs w:val="22"/>
                <w:highlight w:val="none"/>
              </w:rPr>
              <w:t xml:space="preserve"> (по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0" w:tooltip="consultantplus://offline/ref=22F1306B12AE270840682E7250CCEA5A6F967564DB8943BC8F973904FACEBEDA56B7AE3BAB50F55C0D9964DD6B6D0DBDk9n2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24.05.2019 № 147-пп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«Об утверждении государственной программы «Региональная адресная программа по переселению граждан из аварийного жилищного фонда, признанного таковым до 1 января              2017 года» на период 2019 </w:t>
            </w:r>
            <w:r>
              <w:rPr>
                <w:rFonts w:ascii="Times New Roman" w:hAnsi="Times New Roman" w:cs="Times New Roman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2025 годов»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граждан, расселенных из аварийного жилищного фонда (тыс. 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97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0,06</w:t>
            </w:r>
            <w:r>
              <w:rPr>
                <w:highlight w:val="none"/>
              </w:rPr>
            </w:r>
            <w:r/>
          </w:p>
        </w:tc>
      </w:tr>
      <w:tr>
        <w:trPr>
          <w:trHeight w:val="21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0,40</w:t>
            </w:r>
            <w:r>
              <w:rPr>
                <w:highlight w:val="none"/>
              </w:rPr>
            </w:r>
            <w:r/>
          </w:p>
        </w:tc>
      </w:tr>
      <w:tr>
        <w:trPr>
          <w:trHeight w:val="10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0,40</w:t>
            </w:r>
            <w:r>
              <w:rPr>
                <w:highlight w:val="none"/>
              </w:rPr>
            </w:r>
            <w:r/>
          </w:p>
        </w:tc>
      </w:tr>
      <w:tr>
        <w:trPr>
          <w:trHeight w:val="25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0,53</w:t>
            </w:r>
            <w:r>
              <w:rPr>
                <w:highlight w:val="none"/>
              </w:rPr>
            </w:r>
            <w:r/>
          </w:p>
        </w:tc>
      </w:tr>
      <w:tr>
        <w:trPr>
          <w:trHeight w:val="141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1,26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1,26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3.2. Повышение доступности для населения услуг в сфере культуры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3.2.1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Организация, проведение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областными</w:t>
            </w:r>
            <w:r>
              <w:rPr>
                <w:rFonts w:ascii="Times New Roman" w:hAnsi="Times New Roman" w:cs="Times New Roman"/>
                <w:highlight w:val="none"/>
              </w:rPr>
              <w:t xml:space="preserve"> учреждени</w:t>
            </w:r>
            <w:r>
              <w:rPr>
                <w:rFonts w:ascii="Times New Roman" w:hAnsi="Times New Roman" w:cs="Times New Roman"/>
                <w:highlight w:val="none"/>
              </w:rPr>
              <w:t xml:space="preserve">ями культуры </w:t>
            </w:r>
            <w:r>
              <w:rPr>
                <w:rFonts w:ascii="Times New Roman" w:hAnsi="Times New Roman" w:cs="Times New Roman"/>
                <w:highlight w:val="none"/>
              </w:rPr>
              <w:t xml:space="preserve">между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народных, региональных фестивалей и участие в них соответствующих учреждений культуры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2019 – 2020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2021 – 2024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культуры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highlight w:val="none"/>
              </w:rPr>
              <w:t xml:space="preserve">епартамент культуры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1" w:tooltip="consultantplus://offline/ref=58CE5885E9A9288FCE1BFF7E22209045F83F9AAE496745EAA2F091E4FC39995618BBD0248F65C21491EF157530573576M2s8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31.10.2019 № 389-пп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«Об утверждении государственной программы Еврейской автономной области «Культура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highlight w:val="none"/>
              </w:rPr>
              <w:t xml:space="preserve">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12000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3.2.2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Осуществление библиотечного, библиографического и информационного обслуживания населения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  <w:t xml:space="preserve">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культуры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2" w:tooltip="consultantplus://offline/ref=58CE5885E9A9288FCE1BFF7E22209045F83F9AAE496745EAA2F091E4FC39995618BBD0248F65C21491EF157530573576M2s8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31.10.2019 № 389-пп         «Об утверждении государственной программы Еврейской автономной области «Культура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1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49521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50843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52246</w:t>
            </w:r>
            <w:r>
              <w:rPr>
                <w:highlight w:val="none"/>
              </w:rPr>
            </w:r>
            <w:r/>
          </w:p>
        </w:tc>
      </w:tr>
      <w:tr>
        <w:trPr>
          <w:trHeight w:val="19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52246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3.2.3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Предоставление музейных услуг населению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</w:t>
            </w: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none"/>
              </w:rPr>
              <w:t xml:space="preserve"> – 202</w:t>
            </w: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sz w:val="22"/>
                <w:szCs w:val="22"/>
                <w:highlight w:val="none"/>
              </w:rPr>
              <w:t xml:space="preserve">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культуры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3" w:tooltip="consultantplus://offline/ref=58CE5885E9A9288FCE1BFF7E22209045F83F9AAE496745EAA2F091E4FC39995618BBD0248F65C21491EF157530573576M2s8G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31.10.2019 № 389-пп        «Об утверждении государственной программы Еврейской автономной области «Культура Еврейской автономной области»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14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32903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33782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34714</w:t>
            </w:r>
            <w:r>
              <w:rPr>
                <w:highlight w:val="none"/>
              </w:rPr>
            </w:r>
            <w:r/>
          </w:p>
        </w:tc>
      </w:tr>
      <w:tr>
        <w:trPr>
          <w:trHeight w:val="19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92d050"/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34714</w:t>
            </w:r>
            <w:r>
              <w:rPr>
                <w:highlight w:val="none"/>
              </w:rPr>
            </w:r>
            <w:r/>
          </w:p>
        </w:tc>
      </w:tr>
      <w:tr>
        <w:trPr>
          <w:trHeight w:val="353"/>
        </w:trPr>
        <w:tc>
          <w:tcPr>
            <w:gridSpan w:val="7"/>
            <w:tcBorders>
              <w:top w:val="single" w:color="000000" w:sz="4" w:space="0"/>
            </w:tcBorders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3.3. Обеспечение жильем отдельных категорий граждан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3.3.1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Приобретение благоустроенных жилых помещений специализированного жилищного фонда для предоставления по договорам найма специализированных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жилых помещений детям-сиротам и детям, оставшимся без попечения родителей, лицам из их числа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Комитет по управлению государственным имуществом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архитектуры и строительства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по управлению государственным имуществом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департамент социальной защиты населения правительства Еврейской автономной област</w:t>
            </w:r>
            <w:r>
              <w:rPr>
                <w:rFonts w:ascii="Times New Roman" w:hAnsi="Times New Roman" w:cs="Times New Roman"/>
                <w:highlight w:val="none"/>
              </w:rPr>
              <w:t xml:space="preserve">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02.12.2020 № 463-пп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 «Об утверждении государственной программы Еврейской автономной области «Жилище» 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на 2021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детей-сирот и детей, оставшихся без попечения родителей, лиц из их числа,</w:t>
            </w:r>
            <w:r>
              <w:rPr>
                <w:rFonts w:ascii="Times New Roman" w:hAnsi="Times New Roman" w:cs="Times New Roman"/>
                <w:highlight w:val="none"/>
              </w:rPr>
              <w:t xml:space="preserve"> обеспеченных жилыми помещениями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6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</w:t>
            </w:r>
            <w:r>
              <w:rPr>
                <w:highlight w:val="none"/>
              </w:rPr>
            </w:r>
            <w:r/>
          </w:p>
        </w:tc>
      </w:tr>
      <w:tr>
        <w:trPr>
          <w:trHeight w:val="78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</w:t>
            </w:r>
            <w:r>
              <w:rPr>
                <w:highlight w:val="none"/>
              </w:rPr>
            </w:r>
            <w:r/>
          </w:p>
        </w:tc>
      </w:tr>
      <w:tr>
        <w:trPr>
          <w:trHeight w:val="11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49</w:t>
            </w:r>
            <w:r>
              <w:rPr>
                <w:highlight w:val="none"/>
              </w:rPr>
            </w:r>
            <w:r/>
          </w:p>
        </w:tc>
      </w:tr>
      <w:tr>
        <w:trPr>
          <w:trHeight w:val="64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52</w:t>
            </w:r>
            <w:r>
              <w:rPr>
                <w:highlight w:val="none"/>
              </w:rPr>
            </w:r>
            <w:r/>
          </w:p>
        </w:tc>
      </w:tr>
      <w:tr>
        <w:trPr>
          <w:trHeight w:val="146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3.4. Улучшение жилищных условий граждан, проживающих на сельских территориях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3.4.1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Улучшение жилищных условий граждан, проживающих на сельских территориях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</w:t>
            </w:r>
            <w:r>
              <w:rPr>
                <w:sz w:val="22"/>
                <w:szCs w:val="22"/>
                <w:highlight w:val="none"/>
              </w:rPr>
              <w:t xml:space="preserve">жегодно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сельского хозяйства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4" w:tooltip="consultantplus://offline/ref=3337D0B1B312630274F2B7CA175E6DC5D410FB6E9B6AC44CDFA0E6BE11FE206140BE17148FAF91B536E649EC8E93BE22JFD0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</w:t>
            </w:r>
            <w:r>
              <w:rPr>
                <w:rFonts w:ascii="Times New Roman" w:hAnsi="Times New Roman" w:cs="Times New Roman"/>
                <w:highlight w:val="none"/>
              </w:rPr>
              <w:t xml:space="preserve">ва Еврейской автономной области от 31.10.2019 № 387-пп             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Планируемое количество семей, для которых будет приобретено жилье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IV. Мероприятия по созданию условий для закрепления молодежи на территории Еврейской автономной области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4.1. Повышение доступности для молодежи услуг в сфере культуры, физической культуры и спорта, здравоохранения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4.1.1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Организация, проведение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областными учреждениями</w:t>
            </w:r>
            <w:r>
              <w:rPr>
                <w:rFonts w:ascii="Times New Roman" w:hAnsi="Times New Roman" w:cs="Times New Roman"/>
                <w:highlight w:val="none"/>
              </w:rPr>
              <w:t xml:space="preserve"> культуры международных, региональных конкурс</w:t>
            </w:r>
            <w:r>
              <w:rPr>
                <w:rFonts w:ascii="Times New Roman" w:hAnsi="Times New Roman" w:cs="Times New Roman"/>
                <w:highlight w:val="none"/>
              </w:rPr>
              <w:t xml:space="preserve">ов и участие в них соответствующих учреждений культуры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 – 2020 годы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 – 2025 годы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культуры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культуры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5" w:tooltip="consultantplus://offline/ref=BD23973D747F6D8F99754981B21661E594453B494EE502F55E06BF32B9274526A604DBEC8371602E0619A2D31B3BC22FK1H5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31.10.2019 № 389-пп             «Об утверждении государственной программы Еврейской автономной области «Культура Еврейской автономной области»                                        на 2020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highlight w:val="none"/>
              </w:rPr>
              <w:t xml:space="preserve">оличество участников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3000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4.1.2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Реализация </w:t>
            </w:r>
            <w:hyperlink r:id="rId36" w:tooltip="consultantplus://offline/ref=97FBF0279658C8AC247CDB00DC336AA666D667F354CA434455D36D1C802CDFCA34141D1F94DD5BE303E3DF323694E316qBIB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Управление здравоохранения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департамент здравоохранения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eastAsia="Calibri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highlight w:val="none"/>
              </w:rPr>
              <w:t xml:space="preserve">областные государственные бюджетные учреждения здравоохранения, функции и </w:t>
            </w:r>
            <w:r>
              <w:rPr>
                <w:rFonts w:ascii="Times New Roman" w:hAnsi="Times New Roman" w:eastAsia="Calibri" w:cs="Times New Roman"/>
                <w:highlight w:val="none"/>
              </w:rPr>
              <w:t xml:space="preserve">полномочия учредителя которых осуществляет департамент здравоохранения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7" w:tooltip="consultantplus://offline/ref=D2427DCDC3E5A9473A465738C101C6DF36FCA366BB5F0EDB53E6E020698918A48F4D2730F29CE7EC419656A4CC0A1D02nCJ3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23.10.2015 № 482-пп                «Об утверждении государственной программы Еврейской автономной области «Здравоохранение в Еврейской автономной области» на 2016 – 2023 годы»;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N 205-пп          «Об утверждении государственной программы Еврейской автономной области «Здравоохранение в Еврейской автономной области»                            на 2022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привлеченных медицинских работников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4.1.3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фельдшерам)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>
              <w:rPr>
                <w:rFonts w:ascii="Times New Roman" w:hAnsi="Times New Roman" w:cs="Times New Roman"/>
                <w:highlight w:val="none"/>
              </w:rPr>
              <w:t xml:space="preserve">до 50 тысяч человек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</w:t>
            </w:r>
            <w:r>
              <w:rPr>
                <w:sz w:val="22"/>
                <w:szCs w:val="22"/>
                <w:highlight w:val="none"/>
              </w:rPr>
              <w:t xml:space="preserve">остоянно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Управление здравоохранения правительства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highlight w:val="none"/>
              </w:rPr>
              <w:t xml:space="preserve">епартамент здравоохранения правительства 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Еврейской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8" w:tooltip="consultantplus://offline/ref=D2427DCDC3E5A9473A465738C101C6DF36FCA366BB5F0EDB53E6E020698918A48F4D2730F29CE7EC419656A4CC0A1D02nCJ3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23.10.2015 № 482-пп               «Об утверждении государственной программы Еврейской автономной области «Здравоохранение в Еврейской автономной области» на 2016 – 2023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годы»;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Постановление правительства Еврейской автономной области от 23.05.2022 N 205-пп          «Об утверждении государственной программы Еврейской автономной области «Здравоохранение в Еврейской автономной области»                            на 2022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медицинских работников (человек)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202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14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199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147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4.2. Получение профессионального образования, дополнительного профессионального образования и прохождение профессионального обучения гражданами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4.2.1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Открытие новых образовательных программ среднего профессионального образования в учреждениях профессионального образования по профессиям (специальностям), востребованным на рынке труда </w:t>
            </w:r>
            <w:r>
              <w:rPr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Комитет образования Еврейской автономной области;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</w:t>
            </w:r>
            <w:r>
              <w:rPr>
                <w:sz w:val="22"/>
                <w:szCs w:val="22"/>
                <w:highlight w:val="none"/>
              </w:rPr>
              <w:t xml:space="preserve">партамент образования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39" w:tooltip="consultantplus://offline/ref=D3FE7DC9EE8D04A7FD48481261FEAFE02CC8BF6A9D9EAC6F90D93F3774A004593A0B9A24FC5F2F334A659B68FC757592yDPB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11.02.2019 № 25-</w:t>
            </w:r>
            <w:r>
              <w:rPr>
                <w:rFonts w:ascii="Times New Roman" w:hAnsi="Times New Roman" w:cs="Times New Roman"/>
                <w:highlight w:val="none"/>
              </w:rPr>
              <w:t xml:space="preserve">пп            </w:t>
            </w:r>
            <w:r>
              <w:rPr>
                <w:rFonts w:ascii="Times New Roman" w:hAnsi="Times New Roman" w:cs="Times New Roman"/>
                <w:highlight w:val="none"/>
              </w:rPr>
              <w:t xml:space="preserve">«О государственной программе Еврейской автономной области «Развитие образования Еврейской автономной области»                                 на 2018 –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программ (не менее 6 программ к 2025)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2019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2020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>
          <w:trHeight w:val="1465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92d050"/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4.2.2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Создание центра опережающей профессиональной подготовки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2024 год</w:t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Департамент образования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40" w:tooltip="consultantplus://offline/ref=D3FE7DC9EE8D04A7FD48481261FEAFE02CC8BF6A9D9EAC6F90D93F3774A004593A0B9A24FC5F2F334A659B68FC757592yDPB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автономной области от 11.02.2019 № 25-пп           «О государственной программе Еврейской автономной области «Развитие образования Еврейской автономной области»                                  на 2018 – 2024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созданных центров опережающей профессиональной подготовки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V. Информационно-аналитическое и методическое обеспечение проведения демографической политики в Еврейской автономной области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gridSpan w:val="7"/>
            <w:tcW w:w="14833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5.1. Обеспечение информационной поддержки проведения демографической политики, расширение социальной рекламы в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средствах массовой информации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49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5.1.1</w:t>
            </w:r>
            <w:r>
              <w:rPr>
                <w:highlight w:val="none"/>
              </w:rPr>
            </w:r>
            <w:r/>
          </w:p>
        </w:tc>
        <w:tc>
          <w:tcPr>
            <w:tcW w:w="2418" w:type="dxa"/>
            <w:vMerge w:val="restart"/>
            <w:textDirection w:val="lrTb"/>
            <w:noWrap w:val="false"/>
          </w:tcPr>
          <w:p>
            <w:pPr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Освещение деятельности губернатора и правительства </w:t>
            </w:r>
            <w:r>
              <w:rPr>
                <w:rFonts w:ascii="Times New Roman" w:hAnsi="Times New Roman" w:cs="Times New Roman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highlight w:val="none"/>
              </w:rPr>
              <w:t xml:space="preserve">области в</w:t>
            </w:r>
            <w:r>
              <w:rPr>
                <w:rFonts w:ascii="Times New Roman" w:hAnsi="Times New Roman" w:cs="Times New Roman"/>
                <w:highlight w:val="none"/>
              </w:rPr>
              <w:t xml:space="preserve"> областных </w:t>
            </w:r>
            <w:r>
              <w:rPr>
                <w:rFonts w:ascii="Times New Roman" w:hAnsi="Times New Roman" w:cs="Times New Roman"/>
                <w:highlight w:val="none"/>
              </w:rPr>
              <w:t xml:space="preserve">средствах массовой информации</w:t>
            </w:r>
            <w:r>
              <w:rPr>
                <w:highlight w:val="none"/>
              </w:rPr>
            </w:r>
            <w:r/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2021 – 2025 годы</w:t>
            </w:r>
            <w:r>
              <w:rPr>
                <w:highlight w:val="none"/>
              </w:rPr>
            </w:r>
            <w:r/>
          </w:p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32" w:type="dxa"/>
            <w:vMerge w:val="restart"/>
            <w:textDirection w:val="lrTb"/>
            <w:noWrap w:val="false"/>
          </w:tcPr>
          <w:p>
            <w:pPr>
              <w:pStyle w:val="849"/>
              <w:jc w:val="left"/>
              <w:shd w:val="clear" w:color="auto" w:fill="auto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Управление по информационной политике аппарата губернатора и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highlight w:val="none"/>
              </w:rPr>
            </w:r>
            <w:hyperlink r:id="rId41" w:tooltip="consultantplus://offline/ref=66586F719849DFC95E134A5D735F9CE1C15CD5F08A5B0DAE86ECF010565896B2C237A290FA36AC20003FF53E4E27B52El1T6H" w:history="1">
              <w:r>
                <w:rPr>
                  <w:rFonts w:ascii="Times New Roman" w:hAnsi="Times New Roman" w:cs="Times New Roman"/>
                  <w:highlight w:val="none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правительства Еврейской автоно</w:t>
            </w:r>
            <w:r>
              <w:rPr>
                <w:rFonts w:ascii="Times New Roman" w:hAnsi="Times New Roman" w:cs="Times New Roman"/>
                <w:highlight w:val="none"/>
              </w:rPr>
              <w:t xml:space="preserve">мной области от 22.12.2020 № 519-пп              «О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                                   на 2021 – 2025 годы»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2502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публикаций и роликов (штук)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2021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2024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  <w:tr>
        <w:trPr>
          <w:trHeight w:val="70"/>
        </w:trPr>
        <w:tc>
          <w:tcPr>
            <w:tcW w:w="814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1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432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pStyle w:val="849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2025</w:t>
            </w:r>
            <w:r>
              <w:rPr>
                <w:highlight w:val="none"/>
              </w:rPr>
            </w:r>
            <w:r/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</w:t>
            </w:r>
            <w:r>
              <w:rPr>
                <w:highlight w:val="none"/>
              </w:rPr>
            </w:r>
            <w:r/>
          </w:p>
        </w:tc>
      </w:tr>
    </w:tbl>
    <w:p>
      <w:pPr>
        <w:ind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sectPr>
      <w:footnotePr/>
      <w:endnotePr/>
      <w:type w:val="nextPage"/>
      <w:pgSz w:w="16838" w:h="11906" w:orient="landscape"/>
      <w:pgMar w:top="1701" w:right="1134" w:bottom="850" w:left="1134" w:header="805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69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basedOn w:val="843"/>
    <w:uiPriority w:val="1"/>
    <w:qFormat/>
    <w:pPr>
      <w:spacing w:after="0" w:line="240" w:lineRule="auto"/>
    </w:pPr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character" w:styleId="848" w:default="1">
    <w:name w:val="Default Paragraph Font"/>
    <w:uiPriority w:val="1"/>
    <w:semiHidden/>
    <w:unhideWhenUsed/>
  </w:style>
  <w:style w:type="paragraph" w:styleId="849" w:customStyle="1">
    <w:name w:val="Body Text"/>
    <w:basedOn w:val="688"/>
    <w:link w:val="704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5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alloon Text"/>
    <w:basedOn w:val="688"/>
    <w:link w:val="70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ACE2C570E4ED25FBB2227652A70E1FFA744EAD8EA67218B00EB223E5E32EF2977C1BD1190C4AE772651EF8A9333AAF50N5b3C" TargetMode="External"/><Relationship Id="rId13" Type="http://schemas.openxmlformats.org/officeDocument/2006/relationships/hyperlink" Target="consultantplus://offline/ref=ACE2C570E4ED25FBB2227652A70E1FFA744EAD8EA57518BE0FB223E5E32EF2977C1BD1190C4AE772651EF8A9333AAF50N5b3C" TargetMode="External"/><Relationship Id="rId14" Type="http://schemas.openxmlformats.org/officeDocument/2006/relationships/hyperlink" Target="consultantplus://offline/ref=98C9462B5689EF883ACEE55E451D99EF9374892B20F6E7216A21D3B57DDDB5ECC71F61836DC57582F706829680144246E6p3B" TargetMode="External"/><Relationship Id="rId15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6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7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8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9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0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1" Type="http://schemas.openxmlformats.org/officeDocument/2006/relationships/hyperlink" Target="consultantplus://offline/ref=A315EB77BEDC6DD759EA321218960EF156C7AABCE932BD3601F2908D76FCB58DF572BF812C44A4B2F0417A2F1561AFBAM1UFF" TargetMode="External"/><Relationship Id="rId22" Type="http://schemas.openxmlformats.org/officeDocument/2006/relationships/hyperlink" Target="consultantplus://offline/ref=A315EB77BEDC6DD759EA321218960EF156C7AABCE932BD3601F2908D76FCB58DF572BF812C44A4B2F0417A2F1561AFBAM1UFF" TargetMode="External"/><Relationship Id="rId23" Type="http://schemas.openxmlformats.org/officeDocument/2006/relationships/hyperlink" Target="consultantplus://offline/ref=A315EB77BEDC6DD759EA321218960EF156C7AABCE932BD3601F2908D76FCB58DF572BF812C44A4B2F0417A2F1561AFBAM1UFF" TargetMode="External"/><Relationship Id="rId24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25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26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27" Type="http://schemas.openxmlformats.org/officeDocument/2006/relationships/hyperlink" Target="consultantplus://offline/ref=A7BF75FBBED0656621424BBC43825AFE62DEECBECB134E58BE292FAAB8F72C39DC4A04304497F4F8804F1368845FAEE65BQ4G" TargetMode="External"/><Relationship Id="rId28" Type="http://schemas.openxmlformats.org/officeDocument/2006/relationships/hyperlink" Target="consultantplus://offline/ref=A6CC3F8A3C4FF184A059FEB4C7B65F0BACE5454638D64D193AEDAC2A8FAADFA031A042A442CA33E5B54D4F3B984AE153pAb2G" TargetMode="External"/><Relationship Id="rId29" Type="http://schemas.openxmlformats.org/officeDocument/2006/relationships/hyperlink" Target="consultantplus://offline/ref=A6CC3F8A3C4FF184A059FEB4C7B65F0BACE5454638D64D193AEDAC2A8FAADFA031A042A442CA33E5B54D4F3B984AE153pAb2G" TargetMode="External"/><Relationship Id="rId30" Type="http://schemas.openxmlformats.org/officeDocument/2006/relationships/hyperlink" Target="consultantplus://offline/ref=22F1306B12AE270840682E7250CCEA5A6F967564DB8943BC8F973904FACEBEDA56B7AE3BAB50F55C0D9964DD6B6D0DBDk9n2G" TargetMode="External"/><Relationship Id="rId31" Type="http://schemas.openxmlformats.org/officeDocument/2006/relationships/hyperlink" Target="consultantplus://offline/ref=58CE5885E9A9288FCE1BFF7E22209045F83F9AAE496745EAA2F091E4FC39995618BBD0248F65C21491EF157530573576M2s8G" TargetMode="External"/><Relationship Id="rId32" Type="http://schemas.openxmlformats.org/officeDocument/2006/relationships/hyperlink" Target="consultantplus://offline/ref=58CE5885E9A9288FCE1BFF7E22209045F83F9AAE496745EAA2F091E4FC39995618BBD0248F65C21491EF157530573576M2s8G" TargetMode="External"/><Relationship Id="rId33" Type="http://schemas.openxmlformats.org/officeDocument/2006/relationships/hyperlink" Target="consultantplus://offline/ref=58CE5885E9A9288FCE1BFF7E22209045F83F9AAE496745EAA2F091E4FC39995618BBD0248F65C21491EF157530573576M2s8G" TargetMode="External"/><Relationship Id="rId34" Type="http://schemas.openxmlformats.org/officeDocument/2006/relationships/hyperlink" Target="consultantplus://offline/ref=3337D0B1B312630274F2B7CA175E6DC5D410FB6E9B6AC44CDFA0E6BE11FE206140BE17148FAF91B536E649EC8E93BE22JFD0H" TargetMode="External"/><Relationship Id="rId35" Type="http://schemas.openxmlformats.org/officeDocument/2006/relationships/hyperlink" Target="consultantplus://offline/ref=BD23973D747F6D8F99754981B21661E594453B494EE502F55E06BF32B9274526A604DBEC8371602E0619A2D31B3BC22FK1H5H" TargetMode="External"/><Relationship Id="rId36" Type="http://schemas.openxmlformats.org/officeDocument/2006/relationships/hyperlink" Target="consultantplus://offline/ref=97FBF0279658C8AC247CDB00DC336AA666D667F354CA434455D36D1C802CDFCA34141D1F94DD5BE303E3DF323694E316qBIBH" TargetMode="External"/><Relationship Id="rId37" Type="http://schemas.openxmlformats.org/officeDocument/2006/relationships/hyperlink" Target="consultantplus://offline/ref=D2427DCDC3E5A9473A465738C101C6DF36FCA366BB5F0EDB53E6E020698918A48F4D2730F29CE7EC419656A4CC0A1D02nCJ3H" TargetMode="External"/><Relationship Id="rId38" Type="http://schemas.openxmlformats.org/officeDocument/2006/relationships/hyperlink" Target="consultantplus://offline/ref=D2427DCDC3E5A9473A465738C101C6DF36FCA366BB5F0EDB53E6E020698918A48F4D2730F29CE7EC419656A4CC0A1D02nCJ3H" TargetMode="External"/><Relationship Id="rId39" Type="http://schemas.openxmlformats.org/officeDocument/2006/relationships/hyperlink" Target="consultantplus://offline/ref=D3FE7DC9EE8D04A7FD48481261FEAFE02CC8BF6A9D9EAC6F90D93F3774A004593A0B9A24FC5F2F334A659B68FC757592yDPBH" TargetMode="External"/><Relationship Id="rId40" Type="http://schemas.openxmlformats.org/officeDocument/2006/relationships/hyperlink" Target="consultantplus://offline/ref=D3FE7DC9EE8D04A7FD48481261FEAFE02CC8BF6A9D9EAC6F90D93F3774A004593A0B9A24FC5F2F334A659B68FC757592yDPBH" TargetMode="External"/><Relationship Id="rId41" Type="http://schemas.openxmlformats.org/officeDocument/2006/relationships/hyperlink" Target="consultantplus://offline/ref=66586F719849DFC95E134A5D735F9CE1C15CD5F08A5B0DAE86ECF010565896B2C237A290FA36AC20003FF53E4E27B52El1T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2023-01-25T05:47:00Z</dcterms:modified>
</cp:coreProperties>
</file>